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30BFF" w14:textId="779DA424" w:rsidR="009A30E3" w:rsidRPr="00D97F28" w:rsidRDefault="009A30E3" w:rsidP="009A30E3">
      <w:pPr>
        <w:jc w:val="both"/>
        <w:rPr>
          <w:rFonts w:cstheme="minorHAnsi"/>
          <w:b/>
          <w:bCs/>
          <w:sz w:val="24"/>
          <w:szCs w:val="24"/>
        </w:rPr>
      </w:pPr>
      <w:r w:rsidRPr="00D97F28">
        <w:rPr>
          <w:rFonts w:cstheme="minorHAnsi"/>
          <w:b/>
          <w:bCs/>
          <w:sz w:val="24"/>
          <w:szCs w:val="24"/>
        </w:rPr>
        <w:t xml:space="preserve">RECURSO </w:t>
      </w:r>
      <w:r w:rsidRPr="00D97F28">
        <w:rPr>
          <w:rFonts w:cstheme="minorHAnsi"/>
          <w:b/>
          <w:bCs/>
          <w:sz w:val="24"/>
          <w:szCs w:val="24"/>
        </w:rPr>
        <w:t>INCENTIVO FINANCEIRO CAP. PONDERADA / DESEMPENHO</w:t>
      </w:r>
    </w:p>
    <w:p w14:paraId="4F81D06B" w14:textId="14A9157C" w:rsidR="009A30E3" w:rsidRPr="009F140A" w:rsidRDefault="009F140A" w:rsidP="009F140A">
      <w:pPr>
        <w:ind w:firstLine="708"/>
        <w:jc w:val="both"/>
        <w:rPr>
          <w:rFonts w:cstheme="minorHAnsi"/>
          <w:b/>
          <w:bCs/>
          <w:sz w:val="24"/>
          <w:szCs w:val="24"/>
        </w:rPr>
      </w:pPr>
      <w:r w:rsidRPr="009F140A">
        <w:rPr>
          <w:sz w:val="24"/>
          <w:szCs w:val="24"/>
        </w:rPr>
        <w:t>Destinado à manutenção da Atenção Primária em Saúde (APS): todas as despesas de manutenção da APS: Material de uso único - “</w:t>
      </w:r>
      <w:r w:rsidRPr="009F140A">
        <w:rPr>
          <w:sz w:val="24"/>
          <w:szCs w:val="24"/>
        </w:rPr>
        <w:t>médico-hospitalar</w:t>
      </w:r>
      <w:r w:rsidRPr="009F140A">
        <w:rPr>
          <w:sz w:val="24"/>
          <w:szCs w:val="24"/>
        </w:rPr>
        <w:t>” (agulha, seringa, abaixador de língua, algodão, gaze, esparadrapo, etc...), combustível dos veículos utilizados pelas equipes da Atenção Básica e no transporte de pacientes da AB, materiais educativos, materiais de</w:t>
      </w:r>
      <w:r w:rsidRPr="009F140A">
        <w:rPr>
          <w:sz w:val="24"/>
          <w:szCs w:val="24"/>
        </w:rPr>
        <w:t xml:space="preserve"> </w:t>
      </w:r>
      <w:r w:rsidRPr="009F140A">
        <w:rPr>
          <w:sz w:val="24"/>
          <w:szCs w:val="24"/>
        </w:rPr>
        <w:t>expediente, materiais de higiene e limpeza, uniformes, cursos, eventos, capacitações e outras ações de educação em saúde, diárias e passagens para participação em congressos, eventos da Atenção Básica, pagamento de todos os servidores da Atenção Básica (folha de pagamento e encargos), reformas, reparos e adequações das unidades da Atenção Básica e outras ações e atividades que se destinem à manutenção e funcionamento da Atenção Básica. Serviços de terceiros: pagamento de provedor de internet para viabilizar o envio de bancos de dados, além de pesquisa e troca de informações técnicas; confecção e reprodução de material informativo, educativo (folders, cartazes, cartilhas, faixas, banners, etc.) e técnico (manuais, protocolos, linhas guias e outros); manutenção de veículos e equipamentos utilizados nas ações da AB; atividades de educação na saúde; pagamento de estadia, alimentação e locais para a realização de capacitações, eventos e atividades da AB; pagamento de assessorias, consultorias e horas</w:t>
      </w:r>
      <w:r w:rsidRPr="009F140A">
        <w:rPr>
          <w:sz w:val="24"/>
          <w:szCs w:val="24"/>
        </w:rPr>
        <w:t xml:space="preserve"> </w:t>
      </w:r>
      <w:r w:rsidRPr="009F140A">
        <w:rPr>
          <w:sz w:val="24"/>
          <w:szCs w:val="24"/>
        </w:rPr>
        <w:t>aula em ações de interesse da AB; aluguel de imóveis para atividades próprias da Atenção Básica.</w:t>
      </w:r>
    </w:p>
    <w:p w14:paraId="3488A0F1" w14:textId="77777777" w:rsidR="009A30E3" w:rsidRPr="00D97F28" w:rsidRDefault="009A30E3" w:rsidP="009A30E3">
      <w:pPr>
        <w:jc w:val="both"/>
        <w:rPr>
          <w:rFonts w:cstheme="minorHAnsi"/>
          <w:b/>
          <w:bCs/>
          <w:sz w:val="24"/>
          <w:szCs w:val="24"/>
        </w:rPr>
      </w:pPr>
    </w:p>
    <w:p w14:paraId="6A73A775" w14:textId="422585BE" w:rsidR="009A30E3" w:rsidRPr="00D97F28" w:rsidRDefault="009A30E3" w:rsidP="009A30E3">
      <w:pPr>
        <w:jc w:val="both"/>
        <w:rPr>
          <w:rFonts w:cstheme="minorHAnsi"/>
          <w:b/>
          <w:bCs/>
          <w:sz w:val="24"/>
          <w:szCs w:val="24"/>
        </w:rPr>
      </w:pPr>
      <w:r w:rsidRPr="00D97F28">
        <w:rPr>
          <w:rFonts w:cstheme="minorHAnsi"/>
          <w:b/>
          <w:bCs/>
          <w:sz w:val="24"/>
          <w:szCs w:val="24"/>
        </w:rPr>
        <w:t xml:space="preserve">RECURSO </w:t>
      </w:r>
      <w:r w:rsidRPr="00D97F28">
        <w:rPr>
          <w:rFonts w:cstheme="minorHAnsi"/>
          <w:b/>
          <w:bCs/>
          <w:sz w:val="24"/>
          <w:szCs w:val="24"/>
        </w:rPr>
        <w:t>SAÚDE BUCAL</w:t>
      </w:r>
    </w:p>
    <w:p w14:paraId="22DA5D9E" w14:textId="334B6932" w:rsidR="009A30E3" w:rsidRPr="00D97F28" w:rsidRDefault="009F140A" w:rsidP="009F140A">
      <w:pPr>
        <w:ind w:firstLine="708"/>
        <w:jc w:val="both"/>
        <w:rPr>
          <w:rFonts w:cstheme="minorHAnsi"/>
          <w:b/>
          <w:bCs/>
          <w:sz w:val="24"/>
          <w:szCs w:val="24"/>
        </w:rPr>
      </w:pPr>
      <w:r w:rsidRPr="00D97F28">
        <w:rPr>
          <w:rFonts w:cstheme="minorHAnsi"/>
          <w:color w:val="000000"/>
          <w:sz w:val="24"/>
          <w:szCs w:val="24"/>
          <w:shd w:val="clear" w:color="auto" w:fill="FFFFFF"/>
        </w:rPr>
        <w:t>Os recursos destinados ao custeio poderão ser utilizados em qualquer ação da atenção primária, de acordo com o planejamento do orçamento municipal como por exemplo: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material odontológico, materiais educativos, materiais de expediente, materiais de higiene e limpeza, uniformes, cursos, eventos, ações de educação em saúde, pagamento dos servidores da Atenção Primária vinculados a ação.</w:t>
      </w:r>
    </w:p>
    <w:p w14:paraId="555C8110" w14:textId="77777777" w:rsidR="009A30E3" w:rsidRPr="00D97F28" w:rsidRDefault="009A30E3" w:rsidP="009A30E3">
      <w:pPr>
        <w:jc w:val="both"/>
        <w:rPr>
          <w:rFonts w:cstheme="minorHAnsi"/>
          <w:b/>
          <w:bCs/>
          <w:sz w:val="24"/>
          <w:szCs w:val="24"/>
        </w:rPr>
      </w:pPr>
    </w:p>
    <w:p w14:paraId="5DDEFFB1" w14:textId="2E462DEC" w:rsidR="009A30E3" w:rsidRPr="00D97F28" w:rsidRDefault="009A30E3" w:rsidP="009A30E3">
      <w:pPr>
        <w:jc w:val="both"/>
        <w:rPr>
          <w:rFonts w:cstheme="minorHAnsi"/>
          <w:b/>
          <w:bCs/>
          <w:sz w:val="24"/>
          <w:szCs w:val="24"/>
        </w:rPr>
      </w:pPr>
      <w:r w:rsidRPr="00D97F28">
        <w:rPr>
          <w:rFonts w:cstheme="minorHAnsi"/>
          <w:b/>
          <w:bCs/>
          <w:sz w:val="24"/>
          <w:szCs w:val="24"/>
        </w:rPr>
        <w:t>RECURSO INFORMATIZA APS</w:t>
      </w:r>
    </w:p>
    <w:p w14:paraId="137D1194" w14:textId="75AEEDF7" w:rsidR="009A30E3" w:rsidRPr="00D97F28" w:rsidRDefault="009A30E3" w:rsidP="009A30E3">
      <w:pPr>
        <w:ind w:firstLine="708"/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97F28">
        <w:rPr>
          <w:rFonts w:cstheme="minorHAnsi"/>
          <w:color w:val="000000"/>
          <w:sz w:val="24"/>
          <w:szCs w:val="24"/>
          <w:shd w:val="clear" w:color="auto" w:fill="FFFFFF"/>
        </w:rPr>
        <w:t>Os recursos destinados ao custeio poderão ser utilizados em qualquer ação da atenção primária, de acordo com o planejamento do orçamento municipal como por exemplo: no aluguel de equipamentos como computadores; impressoras; tablets; pagamento de link de internet para as Unidades Básicas de Saúde (UBS); pagamentos de mão de obra especializada; pagamento de folha de pessoal que atuem nas atividades da atenção primária; pagamentos de softwares que viabilize a informatização; e compra de insumos para a atenção primária.</w:t>
      </w:r>
    </w:p>
    <w:p w14:paraId="52EC045B" w14:textId="63CDC5EB" w:rsidR="009A30E3" w:rsidRDefault="009A30E3" w:rsidP="009A30E3">
      <w:pPr>
        <w:ind w:firstLine="708"/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682EAB0D" w14:textId="6164F407" w:rsidR="009F140A" w:rsidRDefault="009F140A" w:rsidP="009A30E3">
      <w:pPr>
        <w:ind w:firstLine="708"/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78F2965E" w14:textId="77777777" w:rsidR="009F140A" w:rsidRPr="00D97F28" w:rsidRDefault="009F140A" w:rsidP="009A30E3">
      <w:pPr>
        <w:ind w:firstLine="708"/>
        <w:jc w:val="both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39AFEB43" w14:textId="60AFF381" w:rsidR="009A30E3" w:rsidRPr="00D97F28" w:rsidRDefault="009A30E3" w:rsidP="009A30E3">
      <w:pPr>
        <w:jc w:val="both"/>
        <w:rPr>
          <w:rFonts w:cstheme="minorHAnsi"/>
          <w:b/>
          <w:bCs/>
          <w:sz w:val="24"/>
          <w:szCs w:val="24"/>
        </w:rPr>
      </w:pPr>
      <w:r w:rsidRPr="00D97F28">
        <w:rPr>
          <w:rFonts w:cstheme="minorHAnsi"/>
          <w:b/>
          <w:bCs/>
          <w:sz w:val="24"/>
          <w:szCs w:val="24"/>
        </w:rPr>
        <w:lastRenderedPageBreak/>
        <w:t xml:space="preserve">RECURSO </w:t>
      </w:r>
      <w:r w:rsidRPr="00D97F28">
        <w:rPr>
          <w:rFonts w:cstheme="minorHAnsi"/>
          <w:b/>
          <w:bCs/>
          <w:sz w:val="24"/>
          <w:szCs w:val="24"/>
        </w:rPr>
        <w:t>MANUTENÇÃO ACADEMIA DA SAÚDE</w:t>
      </w:r>
    </w:p>
    <w:p w14:paraId="591D8237" w14:textId="4B2F71C5" w:rsidR="009A30E3" w:rsidRPr="00D97F28" w:rsidRDefault="00D97F28" w:rsidP="009A30E3">
      <w:pPr>
        <w:jc w:val="both"/>
        <w:rPr>
          <w:rFonts w:cstheme="minorHAnsi"/>
          <w:sz w:val="24"/>
          <w:szCs w:val="24"/>
        </w:rPr>
      </w:pPr>
      <w:r w:rsidRPr="00D97F28">
        <w:rPr>
          <w:rFonts w:cstheme="minorHAnsi"/>
          <w:sz w:val="24"/>
          <w:szCs w:val="24"/>
        </w:rPr>
        <w:tab/>
        <w:t>Os gastos devem atender aos eixos conforme</w:t>
      </w:r>
      <w:r w:rsidRPr="00D97F28">
        <w:rPr>
          <w:sz w:val="24"/>
          <w:szCs w:val="24"/>
        </w:rPr>
        <w:t xml:space="preserve"> </w:t>
      </w:r>
      <w:r w:rsidRPr="00D97F28">
        <w:rPr>
          <w:sz w:val="24"/>
          <w:szCs w:val="24"/>
        </w:rPr>
        <w:t>PORTARIA DE CONSOLIDAÇÃO Nº 5, DE 28 DE SETEMBRO DE 2017</w:t>
      </w:r>
    </w:p>
    <w:p w14:paraId="57C5B431" w14:textId="77777777" w:rsidR="00D97F28" w:rsidRDefault="00D97F28" w:rsidP="00D97F28">
      <w:pPr>
        <w:ind w:firstLine="708"/>
        <w:jc w:val="both"/>
        <w:rPr>
          <w:sz w:val="24"/>
          <w:szCs w:val="24"/>
        </w:rPr>
      </w:pPr>
      <w:r w:rsidRPr="00D97F28">
        <w:rPr>
          <w:sz w:val="24"/>
          <w:szCs w:val="24"/>
        </w:rPr>
        <w:t xml:space="preserve">Art. 7º As atividades desenvolvidas no âmbito do Programa Academia da Saúde serão desenvolvidas conforme os seguintes eixos: (Origem: PRT MS/GM 2681/2013, Art. 6º) </w:t>
      </w:r>
    </w:p>
    <w:p w14:paraId="1FDC23DA" w14:textId="1BDE59BE" w:rsidR="00D97F28" w:rsidRDefault="00D97F28" w:rsidP="00D97F28">
      <w:pPr>
        <w:ind w:left="1134"/>
        <w:jc w:val="both"/>
        <w:rPr>
          <w:sz w:val="24"/>
          <w:szCs w:val="24"/>
        </w:rPr>
      </w:pPr>
      <w:r w:rsidRPr="00D97F28">
        <w:rPr>
          <w:sz w:val="24"/>
          <w:szCs w:val="24"/>
        </w:rPr>
        <w:t xml:space="preserve">I - </w:t>
      </w:r>
      <w:r w:rsidRPr="00D97F28">
        <w:rPr>
          <w:sz w:val="24"/>
          <w:szCs w:val="24"/>
        </w:rPr>
        <w:t>Práticas</w:t>
      </w:r>
      <w:r w:rsidRPr="00D97F28">
        <w:rPr>
          <w:sz w:val="24"/>
          <w:szCs w:val="24"/>
        </w:rPr>
        <w:t xml:space="preserve"> corporais e atividades físicas; (Origem: PRT MS/GM 2681/2013, Art. 6º, I)</w:t>
      </w:r>
    </w:p>
    <w:p w14:paraId="5FA59DBD" w14:textId="0639396D" w:rsidR="00D97F28" w:rsidRDefault="00D97F28" w:rsidP="00D97F28">
      <w:pPr>
        <w:ind w:left="1134"/>
        <w:jc w:val="both"/>
        <w:rPr>
          <w:sz w:val="24"/>
          <w:szCs w:val="24"/>
        </w:rPr>
      </w:pPr>
      <w:r w:rsidRPr="00D97F28">
        <w:rPr>
          <w:sz w:val="24"/>
          <w:szCs w:val="24"/>
        </w:rPr>
        <w:t xml:space="preserve"> II - </w:t>
      </w:r>
      <w:r w:rsidRPr="00D97F28">
        <w:rPr>
          <w:sz w:val="24"/>
          <w:szCs w:val="24"/>
        </w:rPr>
        <w:t>Produção</w:t>
      </w:r>
      <w:r w:rsidRPr="00D97F28">
        <w:rPr>
          <w:sz w:val="24"/>
          <w:szCs w:val="24"/>
        </w:rPr>
        <w:t xml:space="preserve"> do cuidado e de modos de vida saudáveis; (Origem: PRT MS/GM 2681/2013, Art. 6º, II) </w:t>
      </w:r>
    </w:p>
    <w:p w14:paraId="17CA72F3" w14:textId="4FC46CCA" w:rsidR="00D97F28" w:rsidRDefault="00D97F28" w:rsidP="00D97F28">
      <w:pPr>
        <w:ind w:left="1134"/>
        <w:jc w:val="both"/>
        <w:rPr>
          <w:sz w:val="24"/>
          <w:szCs w:val="24"/>
        </w:rPr>
      </w:pPr>
      <w:r w:rsidRPr="00D97F28">
        <w:rPr>
          <w:sz w:val="24"/>
          <w:szCs w:val="24"/>
        </w:rPr>
        <w:t xml:space="preserve">III - </w:t>
      </w:r>
      <w:r>
        <w:rPr>
          <w:sz w:val="24"/>
          <w:szCs w:val="24"/>
        </w:rPr>
        <w:t>P</w:t>
      </w:r>
      <w:r w:rsidRPr="00D97F28">
        <w:rPr>
          <w:sz w:val="24"/>
          <w:szCs w:val="24"/>
        </w:rPr>
        <w:t>romoção da alimentação saudável; (Origem: PRT MS/GM 2681/2013, Art. 6º, III)</w:t>
      </w:r>
    </w:p>
    <w:p w14:paraId="7969BD67" w14:textId="6C39D8FA" w:rsidR="00D97F28" w:rsidRDefault="00D97F28" w:rsidP="00D97F28">
      <w:pPr>
        <w:ind w:left="1134"/>
        <w:jc w:val="both"/>
        <w:rPr>
          <w:sz w:val="24"/>
          <w:szCs w:val="24"/>
        </w:rPr>
      </w:pPr>
      <w:r w:rsidRPr="00D97F28">
        <w:rPr>
          <w:sz w:val="24"/>
          <w:szCs w:val="24"/>
        </w:rPr>
        <w:t xml:space="preserve"> IV - </w:t>
      </w:r>
      <w:r w:rsidRPr="00D97F28">
        <w:rPr>
          <w:sz w:val="24"/>
          <w:szCs w:val="24"/>
        </w:rPr>
        <w:t>Práticas</w:t>
      </w:r>
      <w:r w:rsidRPr="00D97F28">
        <w:rPr>
          <w:sz w:val="24"/>
          <w:szCs w:val="24"/>
        </w:rPr>
        <w:t xml:space="preserve"> integrativas e complementares; (Origem: PRT MS/GM 2681/2013, Art. 6º, IV) </w:t>
      </w:r>
    </w:p>
    <w:p w14:paraId="11D53C4B" w14:textId="1CC0FAAE" w:rsidR="00D97F28" w:rsidRDefault="00D97F28" w:rsidP="00D97F28">
      <w:pPr>
        <w:ind w:left="1134"/>
        <w:jc w:val="both"/>
        <w:rPr>
          <w:sz w:val="24"/>
          <w:szCs w:val="24"/>
        </w:rPr>
      </w:pPr>
      <w:r w:rsidRPr="00D97F28">
        <w:rPr>
          <w:sz w:val="24"/>
          <w:szCs w:val="24"/>
        </w:rPr>
        <w:t xml:space="preserve">V - </w:t>
      </w:r>
      <w:r w:rsidRPr="00D97F28">
        <w:rPr>
          <w:sz w:val="24"/>
          <w:szCs w:val="24"/>
        </w:rPr>
        <w:t>Práticas</w:t>
      </w:r>
      <w:r w:rsidRPr="00D97F28">
        <w:rPr>
          <w:sz w:val="24"/>
          <w:szCs w:val="24"/>
        </w:rPr>
        <w:t xml:space="preserve"> artísticas e culturais; (Origem: PRT MS/GM 2681/2013, Art. 6º, V)</w:t>
      </w:r>
    </w:p>
    <w:p w14:paraId="30AEC857" w14:textId="5029B665" w:rsidR="00D97F28" w:rsidRDefault="00D97F28" w:rsidP="00D97F28">
      <w:pPr>
        <w:ind w:left="1134"/>
        <w:jc w:val="both"/>
        <w:rPr>
          <w:sz w:val="24"/>
          <w:szCs w:val="24"/>
        </w:rPr>
      </w:pPr>
      <w:r w:rsidRPr="00D97F28">
        <w:rPr>
          <w:sz w:val="24"/>
          <w:szCs w:val="24"/>
        </w:rPr>
        <w:t xml:space="preserve"> VI - </w:t>
      </w:r>
      <w:r w:rsidRPr="00D97F28">
        <w:rPr>
          <w:sz w:val="24"/>
          <w:szCs w:val="24"/>
        </w:rPr>
        <w:t>Educação</w:t>
      </w:r>
      <w:r w:rsidRPr="00D97F28">
        <w:rPr>
          <w:sz w:val="24"/>
          <w:szCs w:val="24"/>
        </w:rPr>
        <w:t xml:space="preserve"> em saúde; (Origem: PRT MS/GM 2681/2013, Art. 6º, VI)</w:t>
      </w:r>
    </w:p>
    <w:p w14:paraId="432C27D7" w14:textId="2466C756" w:rsidR="00D97F28" w:rsidRDefault="00D97F28" w:rsidP="00D97F28">
      <w:pPr>
        <w:ind w:left="1134"/>
        <w:jc w:val="both"/>
        <w:rPr>
          <w:sz w:val="24"/>
          <w:szCs w:val="24"/>
        </w:rPr>
      </w:pPr>
      <w:r w:rsidRPr="00D97F28">
        <w:rPr>
          <w:sz w:val="24"/>
          <w:szCs w:val="24"/>
        </w:rPr>
        <w:t xml:space="preserve"> VII - </w:t>
      </w:r>
      <w:r>
        <w:rPr>
          <w:sz w:val="24"/>
          <w:szCs w:val="24"/>
        </w:rPr>
        <w:t>P</w:t>
      </w:r>
      <w:r w:rsidRPr="00D97F28">
        <w:rPr>
          <w:sz w:val="24"/>
          <w:szCs w:val="24"/>
        </w:rPr>
        <w:t xml:space="preserve">lanejamento e gestão; e (Origem: PRT MS/GM 2681/2013, Art. 6º, VII) </w:t>
      </w:r>
    </w:p>
    <w:p w14:paraId="6F1B5808" w14:textId="02BAFF5D" w:rsidR="00D97F28" w:rsidRDefault="00D97F28" w:rsidP="00D97F28">
      <w:pPr>
        <w:ind w:left="1134"/>
        <w:jc w:val="both"/>
        <w:rPr>
          <w:sz w:val="24"/>
          <w:szCs w:val="24"/>
        </w:rPr>
      </w:pPr>
      <w:r w:rsidRPr="00D97F28">
        <w:rPr>
          <w:sz w:val="24"/>
          <w:szCs w:val="24"/>
        </w:rPr>
        <w:t xml:space="preserve">VIII - </w:t>
      </w:r>
      <w:r>
        <w:rPr>
          <w:sz w:val="24"/>
          <w:szCs w:val="24"/>
        </w:rPr>
        <w:t>M</w:t>
      </w:r>
      <w:r w:rsidRPr="00D97F28">
        <w:rPr>
          <w:sz w:val="24"/>
          <w:szCs w:val="24"/>
        </w:rPr>
        <w:t>obilização da comunidade. (Origem: PRT MS/GM 2681/2013, Art. 6º, VIII)</w:t>
      </w:r>
    </w:p>
    <w:p w14:paraId="5AE34AC1" w14:textId="5CB7C241" w:rsidR="00832257" w:rsidRDefault="00832257" w:rsidP="00D97F28">
      <w:pPr>
        <w:ind w:left="1134"/>
        <w:jc w:val="both"/>
        <w:rPr>
          <w:sz w:val="24"/>
          <w:szCs w:val="24"/>
        </w:rPr>
      </w:pPr>
    </w:p>
    <w:p w14:paraId="10A416ED" w14:textId="50CB5BD6" w:rsidR="00832257" w:rsidRDefault="00832257" w:rsidP="00832257">
      <w:pPr>
        <w:jc w:val="both"/>
        <w:rPr>
          <w:rFonts w:cstheme="minorHAnsi"/>
          <w:b/>
          <w:bCs/>
          <w:sz w:val="24"/>
          <w:szCs w:val="24"/>
        </w:rPr>
      </w:pPr>
      <w:r w:rsidRPr="00D97F28">
        <w:rPr>
          <w:rFonts w:cstheme="minorHAnsi"/>
          <w:b/>
          <w:bCs/>
          <w:sz w:val="24"/>
          <w:szCs w:val="24"/>
        </w:rPr>
        <w:t xml:space="preserve">RECURSO </w:t>
      </w:r>
      <w:r>
        <w:rPr>
          <w:rFonts w:cstheme="minorHAnsi"/>
          <w:b/>
          <w:bCs/>
          <w:sz w:val="24"/>
          <w:szCs w:val="24"/>
        </w:rPr>
        <w:t>VIGILÂNCIA SANITÁRIA</w:t>
      </w:r>
    </w:p>
    <w:p w14:paraId="248EFCE8" w14:textId="74E58189" w:rsidR="00832257" w:rsidRDefault="00832257" w:rsidP="00832257">
      <w:pPr>
        <w:ind w:firstLine="708"/>
        <w:jc w:val="both"/>
        <w:rPr>
          <w:rFonts w:cstheme="minorHAnsi"/>
          <w:sz w:val="24"/>
          <w:szCs w:val="24"/>
        </w:rPr>
      </w:pPr>
      <w:r w:rsidRPr="00832257">
        <w:rPr>
          <w:rFonts w:cstheme="minorHAnsi"/>
          <w:sz w:val="24"/>
          <w:szCs w:val="24"/>
        </w:rPr>
        <w:t xml:space="preserve">Destinado ao custeio de todas as ações e serviços de Vigilância em Saúde: vigilância sanitária, epidemiológica, ambiental, saúde do trabalhador e promoção em saúde. Pagamento de pessoal para desenvolver atividades na área de controle de doenças; gratificações para recursos humanos que estejam desenvolvendo atividades na área da vigilância em saúde; capacitações em vigilância em saúde para todos os profissionais, inclusive os que desenvolvem atividades na rede assistencial; participação em seminários, congressos de saúde coletiva, epidemiologia, medicina tropical, e outros em que sejam apresentados e discutidos temas relacionados à vigilância em saúde; diárias para deslocamento de servidores de atividades inerentes à vigilância em saúde, bem como para participação em eventos ligados à área. Serviços de terceiros: pagamento de provedor de internet para viabilizar o envio de bancos de dados, além de pesquisa e troca de informações técnicas; confecção e reprodução de material informativo, educativo (folders, cartazes, cartilhas, faixas, banners, etc.) e técnico (manuais, guias de vigilância epidemiológica); manutenção de veículos e equipamentos utilizados nas ações da vigilância em saúde; pagamento de estadia, alimentação e locais </w:t>
      </w:r>
      <w:r w:rsidRPr="00832257">
        <w:rPr>
          <w:rFonts w:cstheme="minorHAnsi"/>
          <w:sz w:val="24"/>
          <w:szCs w:val="24"/>
        </w:rPr>
        <w:lastRenderedPageBreak/>
        <w:t>para a realização de capacitações, eventos e atividades da vigilância em saúde; pagamento de</w:t>
      </w:r>
      <w:r w:rsidRPr="00832257">
        <w:rPr>
          <w:rFonts w:cstheme="minorHAnsi"/>
          <w:sz w:val="24"/>
          <w:szCs w:val="24"/>
        </w:rPr>
        <w:t xml:space="preserve"> </w:t>
      </w:r>
      <w:r w:rsidRPr="00832257">
        <w:rPr>
          <w:rFonts w:cstheme="minorHAnsi"/>
          <w:sz w:val="24"/>
          <w:szCs w:val="24"/>
        </w:rPr>
        <w:t>assessorias, consultorias e horas-aula em ações de interesse da vigilância em saúde; aluguel de imóveis para atividades próprias da vigilância em saúde. Material de consumo: peças, combustíveis (óleo diesel, gasolina, álcool) e lubrificantes para manutenção de veículos; isopor, termômetro, bobinas de gelo reciclável e outros insumos para rede de frio, conservação de imunobiológicos e amostras de laboratório; materiais, peças e outros insumos para atividades de laboratório de saúde pública; compra de equipamentos de proteção individual (EPI) para atividades de controle de vetores; reposição de peças para equipamentos de aspersão; lâminas, lamínulas, estiletes e papel filtro; material de escritório e outros.</w:t>
      </w:r>
    </w:p>
    <w:p w14:paraId="23A762E0" w14:textId="6788F9D3" w:rsidR="00832257" w:rsidRDefault="00832257" w:rsidP="00832257">
      <w:pPr>
        <w:ind w:firstLine="708"/>
        <w:jc w:val="both"/>
        <w:rPr>
          <w:rFonts w:cstheme="minorHAnsi"/>
          <w:sz w:val="24"/>
          <w:szCs w:val="24"/>
        </w:rPr>
      </w:pPr>
    </w:p>
    <w:p w14:paraId="467D60AD" w14:textId="7538F5F5" w:rsidR="00832257" w:rsidRDefault="00832257" w:rsidP="00832257">
      <w:pPr>
        <w:jc w:val="both"/>
        <w:rPr>
          <w:rFonts w:cstheme="minorHAnsi"/>
          <w:b/>
          <w:bCs/>
          <w:sz w:val="24"/>
          <w:szCs w:val="24"/>
        </w:rPr>
      </w:pPr>
      <w:r w:rsidRPr="00D97F28">
        <w:rPr>
          <w:rFonts w:cstheme="minorHAnsi"/>
          <w:b/>
          <w:bCs/>
          <w:sz w:val="24"/>
          <w:szCs w:val="24"/>
        </w:rPr>
        <w:t xml:space="preserve">RECURSO </w:t>
      </w:r>
      <w:r>
        <w:rPr>
          <w:rFonts w:cstheme="minorHAnsi"/>
          <w:b/>
          <w:bCs/>
          <w:sz w:val="24"/>
          <w:szCs w:val="24"/>
        </w:rPr>
        <w:t>ASSISTÊNCIA FARMACÊUTICA</w:t>
      </w:r>
    </w:p>
    <w:p w14:paraId="2540A7D5" w14:textId="07EE6E4E" w:rsidR="002F04A6" w:rsidRDefault="002F04A6" w:rsidP="002F04A6">
      <w:pPr>
        <w:ind w:firstLine="708"/>
        <w:jc w:val="both"/>
        <w:rPr>
          <w:rFonts w:cstheme="minorHAnsi"/>
          <w:sz w:val="24"/>
          <w:szCs w:val="24"/>
        </w:rPr>
      </w:pPr>
      <w:r w:rsidRPr="002F04A6">
        <w:rPr>
          <w:rFonts w:cstheme="minorHAnsi"/>
          <w:sz w:val="24"/>
          <w:szCs w:val="24"/>
        </w:rPr>
        <w:t>O Componente Básico da Assistência Farmacêutica (CBAF) é constituído por uma relação de medicamentos e insumos farmacêuticos, voltados aos agravos prevalentes e prioritários da Atenção Básica, presentes nos anexos I e IV da RENAME.</w:t>
      </w:r>
    </w:p>
    <w:p w14:paraId="610A4EA5" w14:textId="29D57B8E" w:rsidR="002F04A6" w:rsidRDefault="002F04A6" w:rsidP="002F04A6">
      <w:pPr>
        <w:ind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 Programa Qualifar-SUS deve-se atentar aos eixos propostos:</w:t>
      </w:r>
    </w:p>
    <w:p w14:paraId="12840AFA" w14:textId="77777777" w:rsidR="002F04A6" w:rsidRPr="002F04A6" w:rsidRDefault="002F04A6" w:rsidP="002F04A6">
      <w:pPr>
        <w:numPr>
          <w:ilvl w:val="0"/>
          <w:numId w:val="1"/>
        </w:numPr>
        <w:shd w:val="clear" w:color="auto" w:fill="FFFFFF"/>
        <w:spacing w:after="0" w:line="360" w:lineRule="atLeast"/>
        <w:jc w:val="both"/>
        <w:textAlignment w:val="baseline"/>
        <w:rPr>
          <w:rFonts w:eastAsia="Times New Roman" w:cstheme="minorHAnsi"/>
          <w:sz w:val="24"/>
          <w:szCs w:val="24"/>
          <w:lang w:eastAsia="pt-BR"/>
        </w:rPr>
      </w:pPr>
      <w:r w:rsidRPr="002F04A6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pt-BR"/>
        </w:rPr>
        <w:t> I - Eixo Estrutura:</w:t>
      </w:r>
      <w:r w:rsidRPr="002F04A6">
        <w:rPr>
          <w:rFonts w:eastAsia="Times New Roman" w:cstheme="minorHAnsi"/>
          <w:sz w:val="24"/>
          <w:szCs w:val="24"/>
          <w:lang w:eastAsia="pt-BR"/>
        </w:rPr>
        <w:t> contribuir para a estruturação dos serviços farmacêuticos no SUS de modo que estes sejam compatíveis com as atividades desenvolvidas na assistência farmacêutica. Desde 2012 até hoje, </w:t>
      </w:r>
      <w:hyperlink r:id="rId5" w:tgtFrame="_blank" w:history="1">
        <w:r w:rsidRPr="002F04A6">
          <w:rPr>
            <w:rFonts w:eastAsia="Times New Roman" w:cstheme="minorHAnsi"/>
            <w:sz w:val="24"/>
            <w:szCs w:val="24"/>
            <w:u w:val="single"/>
            <w:bdr w:val="none" w:sz="0" w:space="0" w:color="auto" w:frame="1"/>
            <w:lang w:eastAsia="pt-BR"/>
          </w:rPr>
          <w:t>3.508 municípios foram habilitados</w:t>
        </w:r>
      </w:hyperlink>
      <w:r w:rsidRPr="002F04A6">
        <w:rPr>
          <w:rFonts w:eastAsia="Times New Roman" w:cstheme="minorHAnsi"/>
          <w:sz w:val="24"/>
          <w:szCs w:val="24"/>
          <w:lang w:eastAsia="pt-BR"/>
        </w:rPr>
        <w:t> ao Eixo Estrutura do Programa Qualifar-SUS;</w:t>
      </w:r>
    </w:p>
    <w:p w14:paraId="6EA5E279" w14:textId="77777777" w:rsidR="002F04A6" w:rsidRPr="002F04A6" w:rsidRDefault="002F04A6" w:rsidP="002F04A6">
      <w:pPr>
        <w:numPr>
          <w:ilvl w:val="0"/>
          <w:numId w:val="1"/>
        </w:numPr>
        <w:shd w:val="clear" w:color="auto" w:fill="FFFFFF"/>
        <w:spacing w:after="0" w:line="360" w:lineRule="atLeast"/>
        <w:jc w:val="both"/>
        <w:textAlignment w:val="baseline"/>
        <w:rPr>
          <w:rFonts w:eastAsia="Times New Roman" w:cstheme="minorHAnsi"/>
          <w:sz w:val="24"/>
          <w:szCs w:val="24"/>
          <w:lang w:eastAsia="pt-BR"/>
        </w:rPr>
      </w:pPr>
      <w:r w:rsidRPr="002F04A6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pt-BR"/>
        </w:rPr>
        <w:t>II - Eixo Educação:</w:t>
      </w:r>
      <w:r w:rsidRPr="002F04A6">
        <w:rPr>
          <w:rFonts w:eastAsia="Times New Roman" w:cstheme="minorHAnsi"/>
          <w:sz w:val="24"/>
          <w:szCs w:val="24"/>
          <w:lang w:eastAsia="pt-BR"/>
        </w:rPr>
        <w:t> promover a educação permanente e a capacitação dos profissionais na lógica das Redes de Atenção à Saúde;</w:t>
      </w:r>
    </w:p>
    <w:p w14:paraId="6CEE2B00" w14:textId="77777777" w:rsidR="002F04A6" w:rsidRPr="002F04A6" w:rsidRDefault="002F04A6" w:rsidP="002F04A6">
      <w:pPr>
        <w:numPr>
          <w:ilvl w:val="0"/>
          <w:numId w:val="1"/>
        </w:numPr>
        <w:shd w:val="clear" w:color="auto" w:fill="FFFFFF"/>
        <w:spacing w:after="0" w:line="360" w:lineRule="atLeast"/>
        <w:jc w:val="both"/>
        <w:textAlignment w:val="baseline"/>
        <w:rPr>
          <w:rFonts w:eastAsia="Times New Roman" w:cstheme="minorHAnsi"/>
          <w:sz w:val="24"/>
          <w:szCs w:val="24"/>
          <w:lang w:eastAsia="pt-BR"/>
        </w:rPr>
      </w:pPr>
      <w:r w:rsidRPr="002F04A6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pt-BR"/>
        </w:rPr>
        <w:t>III – Eixo Informação:</w:t>
      </w:r>
      <w:r w:rsidRPr="002F04A6">
        <w:rPr>
          <w:rFonts w:eastAsia="Times New Roman" w:cstheme="minorHAnsi"/>
          <w:sz w:val="24"/>
          <w:szCs w:val="24"/>
          <w:lang w:eastAsia="pt-BR"/>
        </w:rPr>
        <w:t> disponibilizar informações que possibilitem o acompanhamento, monitoramento e avaliação das ações e serviços da Assistência Farmacêutica; e</w:t>
      </w:r>
    </w:p>
    <w:p w14:paraId="07F48056" w14:textId="77777777" w:rsidR="002F04A6" w:rsidRPr="002F04A6" w:rsidRDefault="002F04A6" w:rsidP="002F04A6">
      <w:pPr>
        <w:numPr>
          <w:ilvl w:val="0"/>
          <w:numId w:val="1"/>
        </w:numPr>
        <w:shd w:val="clear" w:color="auto" w:fill="FFFFFF"/>
        <w:spacing w:after="0" w:line="360" w:lineRule="atLeast"/>
        <w:jc w:val="both"/>
        <w:textAlignment w:val="baseline"/>
        <w:rPr>
          <w:rFonts w:eastAsia="Times New Roman" w:cstheme="minorHAnsi"/>
          <w:sz w:val="24"/>
          <w:szCs w:val="24"/>
          <w:lang w:eastAsia="pt-BR"/>
        </w:rPr>
      </w:pPr>
      <w:r w:rsidRPr="002F04A6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pt-BR"/>
        </w:rPr>
        <w:t>IV - Eixo Cuidado:</w:t>
      </w:r>
      <w:r w:rsidRPr="002F04A6">
        <w:rPr>
          <w:rFonts w:eastAsia="Times New Roman" w:cstheme="minorHAnsi"/>
          <w:sz w:val="24"/>
          <w:szCs w:val="24"/>
          <w:lang w:eastAsia="pt-BR"/>
        </w:rPr>
        <w:t> inserir a Assistência Farmacêutica nas práticas clínicas visando a resolutividade das ações em saúde, otimizando os benefícios e minimizando os riscos relacionados à farmacoterapia.</w:t>
      </w:r>
    </w:p>
    <w:p w14:paraId="7DF1C602" w14:textId="77777777" w:rsidR="002F04A6" w:rsidRPr="002F04A6" w:rsidRDefault="002F04A6" w:rsidP="002F04A6">
      <w:pPr>
        <w:ind w:firstLine="708"/>
        <w:jc w:val="both"/>
        <w:rPr>
          <w:rFonts w:cstheme="minorHAnsi"/>
          <w:sz w:val="24"/>
          <w:szCs w:val="24"/>
        </w:rPr>
      </w:pPr>
    </w:p>
    <w:p w14:paraId="0CE4F450" w14:textId="77777777" w:rsidR="00832257" w:rsidRPr="00832257" w:rsidRDefault="00832257" w:rsidP="00832257">
      <w:pPr>
        <w:ind w:firstLine="708"/>
        <w:jc w:val="both"/>
        <w:rPr>
          <w:rFonts w:cstheme="minorHAnsi"/>
          <w:sz w:val="24"/>
          <w:szCs w:val="24"/>
        </w:rPr>
      </w:pPr>
    </w:p>
    <w:sectPr w:rsidR="00832257" w:rsidRPr="0083225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250EAC"/>
    <w:multiLevelType w:val="multilevel"/>
    <w:tmpl w:val="2C4A9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0E3"/>
    <w:rsid w:val="002F04A6"/>
    <w:rsid w:val="00832257"/>
    <w:rsid w:val="009A30E3"/>
    <w:rsid w:val="009F140A"/>
    <w:rsid w:val="00D9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36CE6"/>
  <w15:chartTrackingRefBased/>
  <w15:docId w15:val="{E76E2B5B-D8D5-4D54-A7C8-D48DCE73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2F04A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F04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4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v.br/saude/pt-br/composicao/sectics/qualifar-sus/publicacoes/a-municipios-habilitados-qualifar-sus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1060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2024-04-23T17:50:00Z</dcterms:created>
  <dcterms:modified xsi:type="dcterms:W3CDTF">2024-04-23T18:52:00Z</dcterms:modified>
</cp:coreProperties>
</file>